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6850" w14:textId="77777777" w:rsidR="00795833" w:rsidRDefault="00000000">
      <w:pPr>
        <w:spacing w:after="0" w:line="259" w:lineRule="auto"/>
        <w:ind w:left="20" w:firstLine="0"/>
      </w:pPr>
      <w:r>
        <w:rPr>
          <w:sz w:val="56"/>
        </w:rPr>
        <w:t xml:space="preserve">03/01/23 Webinar: Q&amp;A and Poll Results  </w:t>
      </w:r>
    </w:p>
    <w:p w14:paraId="1F847984" w14:textId="77777777" w:rsidR="00795833" w:rsidRDefault="00000000">
      <w:pPr>
        <w:spacing w:after="0" w:line="368" w:lineRule="auto"/>
        <w:ind w:left="20" w:right="3201" w:hanging="20"/>
      </w:pPr>
      <w:r>
        <w:rPr>
          <w:sz w:val="23"/>
        </w:rPr>
        <w:t xml:space="preserve">For any further questions, please email us at siren@ucsf.edu </w:t>
      </w:r>
      <w:r>
        <w:rPr>
          <w:color w:val="431D7D"/>
          <w:sz w:val="32"/>
        </w:rPr>
        <w:t xml:space="preserve">Poll results </w:t>
      </w:r>
    </w:p>
    <w:p w14:paraId="38367620" w14:textId="77777777" w:rsidR="00795833" w:rsidRDefault="00000000">
      <w:pPr>
        <w:numPr>
          <w:ilvl w:val="0"/>
          <w:numId w:val="1"/>
        </w:numPr>
        <w:ind w:right="5" w:hanging="209"/>
      </w:pPr>
      <w:r>
        <w:t xml:space="preserve">What stage are you in when it comes to implementing a community resource referral platform? </w:t>
      </w:r>
    </w:p>
    <w:p w14:paraId="1C5E73CE" w14:textId="77777777" w:rsidR="00795833" w:rsidRDefault="00000000">
      <w:pPr>
        <w:ind w:left="15" w:right="5"/>
      </w:pPr>
      <w:r>
        <w:t xml:space="preserve">We’ve been implementing our platform for over a year: 38% </w:t>
      </w:r>
    </w:p>
    <w:p w14:paraId="6E8D78EE" w14:textId="77777777" w:rsidR="00795833" w:rsidRDefault="00000000">
      <w:pPr>
        <w:ind w:left="15" w:right="5"/>
      </w:pPr>
      <w:r>
        <w:t xml:space="preserve">Not implementing but am a researcher in this area: 18% </w:t>
      </w:r>
    </w:p>
    <w:p w14:paraId="44652D29" w14:textId="77777777" w:rsidR="00795833" w:rsidRDefault="00000000">
      <w:pPr>
        <w:ind w:left="15" w:right="5"/>
      </w:pPr>
      <w:r>
        <w:t xml:space="preserve">Other: 14% </w:t>
      </w:r>
    </w:p>
    <w:p w14:paraId="78824A8B" w14:textId="77777777" w:rsidR="00795833" w:rsidRDefault="00000000">
      <w:pPr>
        <w:ind w:left="15" w:right="5"/>
      </w:pPr>
      <w:r>
        <w:t xml:space="preserve">I’m new to this/just starting to learn about them: 10% </w:t>
      </w:r>
    </w:p>
    <w:p w14:paraId="3972AFBB" w14:textId="77777777" w:rsidR="00795833" w:rsidRDefault="00000000">
      <w:pPr>
        <w:ind w:left="15" w:right="5"/>
      </w:pPr>
      <w:r>
        <w:t xml:space="preserve">We’re in the process of selecting a platform/just selected a platform: 8% </w:t>
      </w:r>
    </w:p>
    <w:p w14:paraId="7FCC6EDF" w14:textId="77777777" w:rsidR="00795833" w:rsidRDefault="00000000">
      <w:pPr>
        <w:ind w:left="15" w:right="5"/>
      </w:pPr>
      <w:r>
        <w:t xml:space="preserve">We’re in the early stages of implementing (for less than a year): 7% </w:t>
      </w:r>
    </w:p>
    <w:p w14:paraId="60C66E53" w14:textId="77777777" w:rsidR="00795833" w:rsidRDefault="00000000">
      <w:pPr>
        <w:ind w:left="15" w:right="5"/>
      </w:pPr>
      <w:r>
        <w:t xml:space="preserve">Vendor: 5% </w:t>
      </w:r>
    </w:p>
    <w:p w14:paraId="3783562C" w14:textId="77777777" w:rsidR="00795833" w:rsidRDefault="00000000">
      <w:pPr>
        <w:spacing w:after="0" w:line="259" w:lineRule="auto"/>
        <w:ind w:left="20" w:firstLine="0"/>
      </w:pPr>
      <w:r>
        <w:t xml:space="preserve"> </w:t>
      </w:r>
    </w:p>
    <w:p w14:paraId="448D9EAA" w14:textId="77777777" w:rsidR="00795833" w:rsidRDefault="00000000">
      <w:pPr>
        <w:numPr>
          <w:ilvl w:val="0"/>
          <w:numId w:val="1"/>
        </w:numPr>
        <w:ind w:right="5" w:hanging="209"/>
      </w:pPr>
      <w:r>
        <w:t xml:space="preserve">If you’ve selected a platform or are working with a platform, which one(s)?  </w:t>
      </w:r>
    </w:p>
    <w:p w14:paraId="080CC0F2" w14:textId="77777777" w:rsidR="00795833" w:rsidRDefault="00000000">
      <w:pPr>
        <w:ind w:left="15" w:right="5"/>
      </w:pPr>
      <w:r>
        <w:t xml:space="preserve">Other platform 33% </w:t>
      </w:r>
    </w:p>
    <w:p w14:paraId="6C52A794" w14:textId="77777777" w:rsidR="00795833" w:rsidRDefault="00000000">
      <w:pPr>
        <w:ind w:left="15" w:right="5"/>
      </w:pPr>
      <w:r>
        <w:t xml:space="preserve">Unite Us / NowPow 31% </w:t>
      </w:r>
    </w:p>
    <w:p w14:paraId="39F3C44A" w14:textId="77777777" w:rsidR="00795833" w:rsidRDefault="00000000">
      <w:pPr>
        <w:ind w:left="15" w:right="5"/>
      </w:pPr>
      <w:r>
        <w:t xml:space="preserve">Multiple platforms 19% </w:t>
      </w:r>
    </w:p>
    <w:p w14:paraId="57BE1789" w14:textId="77777777" w:rsidR="00795833" w:rsidRDefault="00000000">
      <w:pPr>
        <w:ind w:left="15" w:right="5"/>
      </w:pPr>
      <w:r>
        <w:t xml:space="preserve">Findhelp (fka Aunt Bertha) 16% </w:t>
      </w:r>
    </w:p>
    <w:p w14:paraId="3299B5A4" w14:textId="77777777" w:rsidR="00795833" w:rsidRDefault="00000000">
      <w:pPr>
        <w:ind w:left="15" w:right="5"/>
      </w:pPr>
      <w:r>
        <w:t xml:space="preserve">Wellsky/Healthify 1% </w:t>
      </w:r>
    </w:p>
    <w:p w14:paraId="4DDA2A5F" w14:textId="77777777" w:rsidR="00795833" w:rsidRDefault="00000000">
      <w:pPr>
        <w:spacing w:after="319" w:line="259" w:lineRule="auto"/>
        <w:ind w:left="20" w:firstLine="0"/>
      </w:pPr>
      <w:r>
        <w:t xml:space="preserve"> </w:t>
      </w:r>
    </w:p>
    <w:p w14:paraId="45985787" w14:textId="77777777" w:rsidR="00795833" w:rsidRDefault="00000000">
      <w:pPr>
        <w:pStyle w:val="Heading1"/>
      </w:pPr>
      <w:r>
        <w:t xml:space="preserve">Q&amp;A </w:t>
      </w:r>
    </w:p>
    <w:p w14:paraId="0062A7CB" w14:textId="77777777" w:rsidR="00795833" w:rsidRDefault="00000000">
      <w:pPr>
        <w:pStyle w:val="Heading2"/>
        <w:ind w:left="15"/>
      </w:pPr>
      <w:r>
        <w:t xml:space="preserve">Big Picture </w:t>
      </w:r>
    </w:p>
    <w:p w14:paraId="63CBD0BD" w14:textId="77777777" w:rsidR="00795833" w:rsidRDefault="00000000">
      <w:pPr>
        <w:ind w:left="15" w:right="5"/>
      </w:pPr>
      <w:r>
        <w:t xml:space="preserve">What are the top 2-3 things that you’d do differently? </w:t>
      </w:r>
    </w:p>
    <w:p w14:paraId="1D13D322" w14:textId="77777777" w:rsidR="00795833" w:rsidRDefault="00000000">
      <w:pPr>
        <w:ind w:left="15" w:right="5"/>
      </w:pPr>
      <w:r>
        <w:t xml:space="preserve">If this question refers to the strategies,  two things we would have done differently are allow more time to onboard at least two additional CBOs for the referral hub strategy, and be more intentional about incorporating elements of change management theory into the tailored training strategy.   If this question refers to how we would have approached the implementation of NowPow differently, we have several thoughts, starting with going more slowly. We would have spent more time thinking about what need the technology can fill from the perspectives of all the organizations that could use it, identifying organizations for whom the platform actually fulfills a key need, and identifying champions within those organizations. We also would have gone through a more deliberate workflow analysis upfront with those organizations and explored gradual options like starting with the directory or a limited set of referral pathways.  </w:t>
      </w:r>
    </w:p>
    <w:p w14:paraId="1C977381" w14:textId="77777777" w:rsidR="00795833" w:rsidRDefault="00000000">
      <w:pPr>
        <w:spacing w:after="0" w:line="259" w:lineRule="auto"/>
        <w:ind w:left="20" w:firstLine="0"/>
      </w:pPr>
      <w:r>
        <w:t xml:space="preserve"> </w:t>
      </w:r>
    </w:p>
    <w:p w14:paraId="7936DF85" w14:textId="77777777" w:rsidR="00795833" w:rsidRDefault="00000000">
      <w:pPr>
        <w:ind w:left="15" w:right="5"/>
      </w:pPr>
      <w:r>
        <w:t xml:space="preserve">What about implementing the platform in pieces in a specific sequence over phases? </w:t>
      </w:r>
    </w:p>
    <w:p w14:paraId="4929F258" w14:textId="77777777" w:rsidR="00795833" w:rsidRDefault="00000000">
      <w:pPr>
        <w:ind w:left="15" w:right="5"/>
      </w:pPr>
      <w:r>
        <w:t xml:space="preserve">Yes, as we highlight in the previous question, we do think that implementing slowly is key, finding the organizations that would really like to use this tool and focusing on supporting them first would likely help. And finding use cases, i.e.. situations where there are organizations that want or need to be able to share electronic referrals, and focusing on implementing first with them, before trying to spread further.  </w:t>
      </w:r>
    </w:p>
    <w:p w14:paraId="6942EBB7" w14:textId="77777777" w:rsidR="00795833" w:rsidRDefault="00000000">
      <w:pPr>
        <w:spacing w:after="0" w:line="259" w:lineRule="auto"/>
        <w:ind w:left="20" w:firstLine="0"/>
      </w:pPr>
      <w:r>
        <w:lastRenderedPageBreak/>
        <w:t xml:space="preserve"> </w:t>
      </w:r>
    </w:p>
    <w:p w14:paraId="4759ABD7" w14:textId="77777777" w:rsidR="00795833" w:rsidRDefault="00000000">
      <w:pPr>
        <w:ind w:left="15" w:right="5"/>
      </w:pPr>
      <w:r>
        <w:t xml:space="preserve">Given your experience with Aunt Bertha, and now this series of experiences with NowPow, have you reconsidered the project’s overarching hypothesis – that a closed-loop referral platform is in and of itself a solution to the challenges of social care delivery? </w:t>
      </w:r>
    </w:p>
    <w:p w14:paraId="56222135" w14:textId="77777777" w:rsidR="00795833" w:rsidRDefault="00000000">
      <w:pPr>
        <w:spacing w:after="0" w:line="242" w:lineRule="auto"/>
        <w:ind w:left="20" w:right="12" w:firstLine="0"/>
        <w:jc w:val="both"/>
      </w:pPr>
      <w:r>
        <w:t xml:space="preserve">We agree that close-loop platforms are not in and of themselves a key solution to ensuring that patients can have their needs met. They are filling a need for health care organizations to be able to make referrals to social service organizations and to want to know whether the referral led to services. </w:t>
      </w:r>
      <w:r>
        <w:rPr>
          <w:rFonts w:ascii="Roboto" w:eastAsia="Roboto" w:hAnsi="Roboto" w:cs="Roboto"/>
          <w:sz w:val="21"/>
        </w:rPr>
        <w:t>THT is still struggling to understand the eventual business model. It is unlikely that CBOs would ever be able to pay for the tool, and in fact they need more resources to implement it successfully.</w:t>
      </w:r>
      <w:r>
        <w:t xml:space="preserve"> We think this kind of ability to connect across organizations should ideally be a public utility type of model, where there is just one community-owned infrastructure that facilitates these connections in any community, so that organizations are not barraged with the need to log into and enter data into multiple different platforms. Or perhaps a model that functions like email: we all use different email clients, but they all talk to each other.   </w:t>
      </w:r>
    </w:p>
    <w:p w14:paraId="7660E0BE" w14:textId="77777777" w:rsidR="00795833" w:rsidRDefault="00000000">
      <w:pPr>
        <w:spacing w:after="0" w:line="259" w:lineRule="auto"/>
        <w:ind w:left="20" w:firstLine="0"/>
      </w:pPr>
      <w:r>
        <w:t xml:space="preserve"> </w:t>
      </w:r>
    </w:p>
    <w:p w14:paraId="7D9AC7D7" w14:textId="77777777" w:rsidR="00795833" w:rsidRDefault="00000000">
      <w:pPr>
        <w:ind w:left="15" w:right="5"/>
      </w:pPr>
      <w:r>
        <w:t xml:space="preserve">How did your experience change when Now Pow was acquired by Unite Us? </w:t>
      </w:r>
    </w:p>
    <w:p w14:paraId="35F175D2" w14:textId="77777777" w:rsidR="00795833" w:rsidRDefault="00000000">
      <w:pPr>
        <w:ind w:left="15" w:right="5"/>
      </w:pPr>
      <w:r>
        <w:t xml:space="preserve">Initially, both NowPow and Unite Us made commitments to keep the legacy platforms running smoothly throughout the transition period until the new combined platform was ready. Not surprisingly, however, the transition process took much longer than expected. Over time, support for the legacy NowPow platform became inconsistent. Resource directory updates were slower if they happened at all, and there was a freeze on adding new resources (though exceptions to that freeze were made on a case-by-case basis). </w:t>
      </w:r>
    </w:p>
    <w:p w14:paraId="0B41D6BA" w14:textId="77777777" w:rsidR="00795833" w:rsidRDefault="00000000">
      <w:pPr>
        <w:spacing w:after="0" w:line="259" w:lineRule="auto"/>
        <w:ind w:left="20" w:firstLine="0"/>
      </w:pPr>
      <w:r>
        <w:t xml:space="preserve"> </w:t>
      </w:r>
    </w:p>
    <w:p w14:paraId="77D76473" w14:textId="77777777" w:rsidR="00795833" w:rsidRDefault="00000000">
      <w:pPr>
        <w:ind w:left="15" w:right="5"/>
      </w:pPr>
      <w:r>
        <w:t xml:space="preserve">CMS/CMMI funded scores of pilots around the country (ACH) of the fundamental action these systems are designed to do: screen for SDoH and specific transactional referrals to CBOs/agencies to address specific needs. The results of those pilots were very poor. You seem to be confirming. Should we not question the basic strategy? </w:t>
      </w:r>
    </w:p>
    <w:p w14:paraId="1D35898A" w14:textId="77777777" w:rsidR="00795833" w:rsidRDefault="00000000">
      <w:pPr>
        <w:ind w:left="15" w:right="5"/>
      </w:pPr>
      <w:r>
        <w:t xml:space="preserve">Results from the AHC model are actually not that negative (see the first evaluation report </w:t>
      </w:r>
      <w:r>
        <w:rPr>
          <w:color w:val="1154CC"/>
          <w:u w:val="single" w:color="1154CC"/>
        </w:rPr>
        <w:t>here</w:t>
      </w:r>
      <w:r>
        <w:t xml:space="preserve">, where they did find some utilization benefits), but I agree that we need to be learning about what really works. My sense is that navigation is key, i.e.. helping people reach resources. And then funding service provision. Referring to underfunded overworked social service organizations is likely not that helpful. </w:t>
      </w:r>
    </w:p>
    <w:p w14:paraId="29EA2D0E" w14:textId="77777777" w:rsidR="00795833" w:rsidRDefault="00000000">
      <w:pPr>
        <w:spacing w:after="0" w:line="259" w:lineRule="auto"/>
        <w:ind w:left="20" w:firstLine="0"/>
      </w:pPr>
      <w:r>
        <w:t xml:space="preserve"> </w:t>
      </w:r>
    </w:p>
    <w:p w14:paraId="17CF3539" w14:textId="77777777" w:rsidR="00795833" w:rsidRDefault="00000000">
      <w:pPr>
        <w:ind w:left="15" w:right="5"/>
      </w:pPr>
      <w:r>
        <w:t xml:space="preserve">How do we promote/enforce accountability in using closed loop referral systems when agencies wish to stay within their "home grown system" silo? </w:t>
      </w:r>
    </w:p>
    <w:p w14:paraId="03399BF6" w14:textId="77777777" w:rsidR="00795833" w:rsidRDefault="00000000">
      <w:pPr>
        <w:ind w:left="15" w:right="5"/>
      </w:pPr>
      <w:r>
        <w:t xml:space="preserve">LIVE ANSWER BY CAROLINE FICHTENBERG, UCSF SIREN: I think that this brings up one of the central questions here that we're faced with after doing this project. I think what we're seeing across the country is everybody trying to do this in different ways. And we're still in this process of trying to put together the pieces: “ it seems to be working okay here, but not that great over here.” What we learned in Trenton is in a relatively small community, where CBOs don't see a lot of value for having a new tool that facilitates track referrals. If it had been something that linked up existing tools, I think it might have been a totally different ball game, or if we had focused specifically on a few programs where people really wanted to be able to send referrals to each other. So we saw that with the produce referral, that people used it, and then Jessica mentioned that there's a few other things happening now where people are starting to say, Okay, well, maybe we should use NowPow for this particular use. For example, there's some substance use and mental health referrals that are very active right </w:t>
      </w:r>
      <w:r>
        <w:lastRenderedPageBreak/>
        <w:t xml:space="preserve">now on NowPow but one of the key things that you know I've taken away from this is start with the need and the people, and then figure out what kind of technology can be helpful for that. But the technology is a support for what it is you want to do, not the solution. And then the other piece is that integration. We can't expect people to use 5 different tools that aren't talking to each other, and I think that when this project started, the field of these technologies was early enough that a lot of those integrations hadn't been worked out. My sense is that that's starting to happen much more. For example, we're doing a project in Oregon, with Unite Us as the platform and I think they’re going to be implementing some kind of direct integration with EMRs and hopefully other data systems as well. But I think it's really important for this not just to be integration with EMRs, right? It has to be with the data systems that social service organizations are using as well. </w:t>
      </w:r>
    </w:p>
    <w:p w14:paraId="5420CE16" w14:textId="77777777" w:rsidR="00795833" w:rsidRDefault="00000000">
      <w:pPr>
        <w:spacing w:after="55" w:line="259" w:lineRule="auto"/>
        <w:ind w:left="20" w:firstLine="0"/>
      </w:pPr>
      <w:r>
        <w:t xml:space="preserve"> </w:t>
      </w:r>
    </w:p>
    <w:p w14:paraId="098EF1CC" w14:textId="77777777" w:rsidR="00795833" w:rsidRDefault="00000000">
      <w:pPr>
        <w:pStyle w:val="Heading2"/>
        <w:ind w:left="15"/>
      </w:pPr>
      <w:r>
        <w:t xml:space="preserve">Human connection and referrals </w:t>
      </w:r>
    </w:p>
    <w:p w14:paraId="4BDED462" w14:textId="77777777" w:rsidR="00795833" w:rsidRDefault="00000000">
      <w:pPr>
        <w:ind w:left="15" w:right="5"/>
      </w:pPr>
      <w:r>
        <w:t xml:space="preserve">Can you describe how you assess the applicability of referrals? For instance if the referral was open when the client was able to go, or relevant to their needs, or satisfaction with the service? Any assessment/thoughts/feedback here? This is our biggest struggle with these services (especially if there’s internal feedback from CHWs or direct service providers that understand how certain CBOs may be more culturally congruent or socially relevant to certain clients, making not all referrals equal). </w:t>
      </w:r>
    </w:p>
    <w:p w14:paraId="3E869310" w14:textId="77777777" w:rsidR="00795833" w:rsidRDefault="00000000">
      <w:pPr>
        <w:ind w:left="15" w:right="5"/>
      </w:pPr>
      <w:r>
        <w:t xml:space="preserve">LIVE ANSWER BY GREG PAULSON, THT: I think we didn't get to the place where there were enough referrals coming through the NowPow platform that we were looking to evaluate them. We didn't talk about it as much on this presentation, but we have a separate community care team that's made up currently of 9 community health worker positions overseen by registered nurse social workers. So that's our source of that wisdom on what's working and what's not. But we have not yet gotten to the place where we really felt like we had enough data coming through the referral platform to then match it with that on the ground wisdom that our community health workers have of what works and what doesn't. I think that's a really great opportunity to do and that's part of how we want to think about this work going forward: we want the right people to get connected to the right organizations and have the right awareness of the total set of services and not be limited by “I happen to know of this particular person therefore, that organization gets most of my referrals.” But we don't quite have enough data yet to meaningfully be able to look at them. </w:t>
      </w:r>
    </w:p>
    <w:p w14:paraId="4BC49006" w14:textId="77777777" w:rsidR="00795833" w:rsidRDefault="00000000">
      <w:pPr>
        <w:spacing w:after="0" w:line="259" w:lineRule="auto"/>
        <w:ind w:left="20" w:firstLine="0"/>
      </w:pPr>
      <w:r>
        <w:t xml:space="preserve"> </w:t>
      </w:r>
    </w:p>
    <w:p w14:paraId="4ED60D65" w14:textId="77777777" w:rsidR="00795833" w:rsidRDefault="00000000">
      <w:pPr>
        <w:ind w:left="15" w:right="5"/>
      </w:pPr>
      <w:r>
        <w:t xml:space="preserve">I’m wondering if having an electronic referral system loses the personal connection of doing a “warm handoff.”  In my work as a social worker in an ED, there are some CBO referrals I make where I personally know a social worker at the CBO and contact them directly. I can tell the patient the CBO person’s name and what to expect. Just curious about the team's thoughts on this. ||  I wonder if some of the hub resistance had to do with users feeling it as disingenuous, as compared to how they are used to assisting individuals in need. For those that are trained to assess and address one’s needs, it may seem like they’re “passing off” to the hub. We’ve had this feedback through our own pilots. We heard this throughout the duration of the project by interviewees. People prefer warm hand-offs. To help address this, we discussed organizing socialization opportunities for NowPow end users to meet the face on the other end of the referral. This was partially the impetus for the convenings we included as part of the communications strategy. However, we continued to struggle with the fact that many CBO staff already have pre-existing relationships and if they are not engaged with the platform, they are not likely to engage with the THT NowPow network team’s events. </w:t>
      </w:r>
    </w:p>
    <w:p w14:paraId="04CCC605" w14:textId="77777777" w:rsidR="00795833" w:rsidRDefault="00000000">
      <w:pPr>
        <w:spacing w:after="0" w:line="259" w:lineRule="auto"/>
        <w:ind w:left="20" w:firstLine="0"/>
      </w:pPr>
      <w:r>
        <w:t xml:space="preserve"> </w:t>
      </w:r>
    </w:p>
    <w:p w14:paraId="3ED557A0" w14:textId="77777777" w:rsidR="00795833" w:rsidRDefault="00000000">
      <w:pPr>
        <w:ind w:left="15" w:right="5"/>
      </w:pPr>
      <w:r>
        <w:lastRenderedPageBreak/>
        <w:t xml:space="preserve">Have you considered leading with each participant having their own companion/care manager/navigator at the Hub, supported by IT, instead of leading with transactional referral IT? </w:t>
      </w:r>
    </w:p>
    <w:p w14:paraId="198F7C9B" w14:textId="77777777" w:rsidR="00795833" w:rsidRDefault="00000000">
      <w:pPr>
        <w:ind w:left="15" w:right="5"/>
      </w:pPr>
      <w:r>
        <w:t xml:space="preserve">Yes, if we are understanding your question correctly, we did have paying for dedicated staff on our initial list of suggestions from our formative work in Year 1. However, it was not financially feasible, not in the immediate term of the project and even less so as a sustained model for THT beyond the project. </w:t>
      </w:r>
    </w:p>
    <w:p w14:paraId="30ABF3DE" w14:textId="77777777" w:rsidR="00795833" w:rsidRDefault="00000000">
      <w:pPr>
        <w:spacing w:after="65" w:line="259" w:lineRule="auto"/>
        <w:ind w:left="20" w:firstLine="0"/>
      </w:pPr>
      <w:r>
        <w:t xml:space="preserve"> </w:t>
      </w:r>
    </w:p>
    <w:p w14:paraId="4FB74FE8" w14:textId="77777777" w:rsidR="00795833" w:rsidRDefault="00000000">
      <w:pPr>
        <w:pStyle w:val="Heading2"/>
        <w:ind w:left="15"/>
      </w:pPr>
      <w:r>
        <w:t xml:space="preserve">Financial incentives </w:t>
      </w:r>
    </w:p>
    <w:p w14:paraId="46816354" w14:textId="77777777" w:rsidR="00795833" w:rsidRDefault="00000000">
      <w:pPr>
        <w:ind w:left="15" w:right="5"/>
      </w:pPr>
      <w:r>
        <w:t xml:space="preserve">Can you clarify what you mean by “requiring use”? Earlier we heard that organizations objected to financial incentives; if those “requirements” were really about funding conditions, it sounds like they are actually (negative) financial incentives that you found to be efficient in driving engagement. Are there concerns about the equitability of this strategy, given the expressed concerns of CBOs? LIVE ANSWER BY CAROLINE FICHTENBERG, UCSF SIREN: Yeah, I think that's a really great question. And this is why we said, if there's any kind of requirement of use, it has to be accompanied by substantial resources to support that use. I think that if we had said to CBOs, “Look, we're going to fund like half a person, so that you, that person, can be managing the tool and dealing with the double data entry, that this may involve because of a lack of integration. And then in addition, for all the services that you provide as a result of the referrals that come through NowPow, we're going to pay for that” I think that that's the kind of requirement that we were thinking about. I think that a requirement to use without resources is a recipe for a lot of frustration and really negative impacts on already underfunded social service organizations. </w:t>
      </w:r>
    </w:p>
    <w:p w14:paraId="6CCC6481" w14:textId="77777777" w:rsidR="00795833" w:rsidRDefault="00000000">
      <w:pPr>
        <w:spacing w:after="0" w:line="259" w:lineRule="auto"/>
        <w:ind w:left="20" w:firstLine="0"/>
      </w:pPr>
      <w:r>
        <w:t xml:space="preserve"> </w:t>
      </w:r>
    </w:p>
    <w:p w14:paraId="7838A4A4" w14:textId="77777777" w:rsidR="00795833" w:rsidRDefault="00000000">
      <w:pPr>
        <w:ind w:left="15" w:right="5"/>
      </w:pPr>
      <w:r>
        <w:t xml:space="preserve">Can you expand more on the financial incentive that was used/proposed to encourage CBO participation?  Was it a one-time or ongoing per referral? </w:t>
      </w:r>
    </w:p>
    <w:p w14:paraId="30112A7B" w14:textId="77777777" w:rsidR="00795833" w:rsidRDefault="00000000">
      <w:pPr>
        <w:ind w:left="15" w:right="5"/>
      </w:pPr>
      <w:r>
        <w:t xml:space="preserve">LIVE ANSWER BY JESSICA BURNETT, THT: This was a question that we asked in our interviews, what might encourage more use, and then, I believe we ask the question, if you could think of any financial incentive or some type of strategy of that required type of reimbursement, we asked it that way. So it really wasn't that defined. We were hoping to get suggestions from our interviewees, and then design some type of strategy with that. So we were really leaving it up to the community to throw ideas at us, for us to consider what was feasible. </w:t>
      </w:r>
    </w:p>
    <w:p w14:paraId="1D9770C0" w14:textId="77777777" w:rsidR="00795833" w:rsidRDefault="00000000">
      <w:pPr>
        <w:ind w:left="15" w:right="5"/>
      </w:pPr>
      <w:r>
        <w:t xml:space="preserve">LIVE ANSWER BY GREG PAULSON, THT: Let's just add to that the results of a survey where one of those strategies was a financial strategy, whether people want to be funded to learn how to use the tool. And people ranked that strategy last. There was also a strategy around wanting to receive grants for providing services through the tool, and that was also not in the top 4. So we tried different versions as well. I think we had something like 60 or 80,000 in our original budget, for the project that was going to be intended to be used for those types of, etc. So we really thought it was something we wanted to test. And we heard a pretty clear answer. People weren't interested in it. </w:t>
      </w:r>
    </w:p>
    <w:p w14:paraId="55CD34D7" w14:textId="77777777" w:rsidR="00795833" w:rsidRDefault="00000000">
      <w:pPr>
        <w:spacing w:after="55" w:line="259" w:lineRule="auto"/>
        <w:ind w:left="20" w:firstLine="0"/>
      </w:pPr>
      <w:r>
        <w:t xml:space="preserve"> </w:t>
      </w:r>
    </w:p>
    <w:p w14:paraId="3C70F3B2" w14:textId="77777777" w:rsidR="00795833" w:rsidRDefault="00000000">
      <w:pPr>
        <w:pStyle w:val="Heading2"/>
        <w:ind w:left="15"/>
      </w:pPr>
      <w:r>
        <w:t xml:space="preserve">Interoperability </w:t>
      </w:r>
    </w:p>
    <w:p w14:paraId="5441DA77" w14:textId="77777777" w:rsidR="00795833" w:rsidRDefault="00000000">
      <w:pPr>
        <w:ind w:left="15" w:right="5"/>
      </w:pPr>
      <w:r>
        <w:t xml:space="preserve">Very interested in interoperability. Was THT able to enable access to NowPow AND to other tracking tools including the custom-made system presented here? Challenges, successes, insights?  ||  Did THT consider interoperability/integrating the homegrown solutions with NowPow? Or integrating with EHRs used in Trenton? ||   Did the hospitals embed tracked referrals in their EMR? When focused on </w:t>
      </w:r>
      <w:r>
        <w:lastRenderedPageBreak/>
        <w:t xml:space="preserve">services that CBO seek referrals from health partners (such as maternal home visiting programs), these referrals will have a high success rate in being accepted and closed. </w:t>
      </w:r>
    </w:p>
    <w:p w14:paraId="7D66E929" w14:textId="77777777" w:rsidR="00795833" w:rsidRDefault="00000000">
      <w:pPr>
        <w:ind w:left="15" w:right="5"/>
      </w:pPr>
      <w:r>
        <w:t xml:space="preserve">THT’s implementation of NowPow included an integration with the Trenton Health Information Exchange, which we also operate. HIE users are able to launch NowPow from within the HIE portal via a one-click SSO integration that also brings over patient data from the HIE into NowPow. NowPow then pushes back documents related to SDoH screening, referrals made, and patient interactions. Those documents are available in the reports section of the HIE alongside other clinical documents.  This integration, however, is only available to HIE users given the restrictions created by pulling patient data from the clinical records. Non-HIE users operate in a separate NowPow environment that does not share information in either direction with the HIE. </w:t>
      </w:r>
    </w:p>
    <w:p w14:paraId="700BB33E" w14:textId="77777777" w:rsidR="00795833" w:rsidRDefault="00000000">
      <w:pPr>
        <w:ind w:left="15" w:right="5"/>
      </w:pPr>
      <w:r>
        <w:t xml:space="preserve">We did not explore integrations with the homegrown systems given the technical limitations of those systems (the first one was built on Google Sheets). </w:t>
      </w:r>
    </w:p>
    <w:p w14:paraId="0BE83A5A" w14:textId="77777777" w:rsidR="00795833" w:rsidRDefault="00000000">
      <w:pPr>
        <w:spacing w:after="0" w:line="259" w:lineRule="auto"/>
        <w:ind w:left="20" w:firstLine="0"/>
      </w:pPr>
      <w:r>
        <w:t xml:space="preserve"> </w:t>
      </w:r>
    </w:p>
    <w:p w14:paraId="671346AA" w14:textId="77777777" w:rsidR="00795833" w:rsidRDefault="00000000">
      <w:pPr>
        <w:ind w:left="15" w:right="5"/>
      </w:pPr>
      <w:r>
        <w:t xml:space="preserve">Given that Aunt Bertha is still being used regionally, and there are other information systems presumably being used (by 211, HMIS, etc.) can you speak to the challenges and opportunities of establishing interoperability among systems? Should organizations be able to choose what information systems they use without closing themselves off from coordination with other organizations using other information systems? </w:t>
      </w:r>
    </w:p>
    <w:p w14:paraId="698ADBE5" w14:textId="77777777" w:rsidR="00795833" w:rsidRDefault="00000000">
      <w:pPr>
        <w:ind w:left="15" w:right="5"/>
      </w:pPr>
      <w:r>
        <w:t xml:space="preserve">LIVE ANSWER BY GREG PAULSON, THT: So as mentioned in the beginning, we engaged in this work already operating the Health Information Exchange platform right? So the concept of health record interoperability is very core to who we are and what we do. This question, I think, raises the issue of that multiple platforms question: is the solution a single platform, or is it interoperability amongst platforms, or some combination thereof. One of the things we did is make sure that our NowPow instance is actually connected to our HIE, so all the documents created through this process are put back in the HIE record and accessible to clinical providers. But that really doesn't solve the other issue. It seemed like too big a question for us, where we're still figuring out: How would these tools really work? What are the components of the directory that are most useful? You heard about a couple tools that our teams designed out of an organic understanding of need, not because they came into the place to design a tool. So there are some other questions that we'd have to answer before we could meaningfully look at if  interoperability amongst these tools would even be an option. </w:t>
      </w:r>
    </w:p>
    <w:p w14:paraId="0F22CEDD" w14:textId="77777777" w:rsidR="00795833" w:rsidRDefault="00000000">
      <w:pPr>
        <w:spacing w:after="65" w:line="259" w:lineRule="auto"/>
        <w:ind w:left="20" w:firstLine="0"/>
      </w:pPr>
      <w:r>
        <w:t xml:space="preserve"> </w:t>
      </w:r>
    </w:p>
    <w:p w14:paraId="4566B2A0" w14:textId="77777777" w:rsidR="00795833" w:rsidRDefault="00000000">
      <w:pPr>
        <w:pStyle w:val="Heading2"/>
        <w:ind w:left="15"/>
      </w:pPr>
      <w:r>
        <w:t xml:space="preserve">Community Buy-In </w:t>
      </w:r>
    </w:p>
    <w:p w14:paraId="0FDF82C3" w14:textId="77777777" w:rsidR="00795833" w:rsidRDefault="00000000">
      <w:pPr>
        <w:ind w:left="15" w:right="5"/>
      </w:pPr>
      <w:r>
        <w:t xml:space="preserve">Were the CBOs engaged in the initial platform selection and design, i.e. a community-based design process?  If yes, what was their role?  If not, do you think their lack of initial involvement affected their openness to using it? </w:t>
      </w:r>
    </w:p>
    <w:p w14:paraId="0CA83621" w14:textId="77777777" w:rsidR="00795833" w:rsidRDefault="00000000">
      <w:pPr>
        <w:ind w:left="15" w:right="5"/>
      </w:pPr>
      <w:r>
        <w:t xml:space="preserve">LIVE ANSWER BY GREG PAULSON, THT: The 2016 rollout of Aunt Bertha did not involve community organizations. That was a selection by the New Jersey Healthcare Quality Institute. When we made the decision ultimately to implement NowPow on top of that existing Aunt Bertha in the county, that was a process that was really heavily discussed and made through our Community Advisory Board network, which has about 100 organizations loosely part of it, more than half of those weren’t active, but we also have had a subgroup of users. I mentioned in one of the written responses that that group has really been our NowPow steering committee. The ones who looked at the different social determinants screener questions. And we're still wrestling with the questions of true resident feedback and resident engagement. What does that really look like? So we've stayed in the space of </w:t>
      </w:r>
      <w:r>
        <w:lastRenderedPageBreak/>
        <w:t xml:space="preserve">those who are involved in this work, whether doing it on a volunteer basis or part of their formal employment, but very heavily part of us all working together to try to make these decisions so it was interesting we mentioned, to those executive leader, our frontline staff sessions, where we had the feedback. Everyone came into those like “Oh, great to see you again” that very collaborative, collegial environment. So this is all done where we all know each other and are all participating in the decision. As best we could at the time. </w:t>
      </w:r>
    </w:p>
    <w:p w14:paraId="2C3147D0" w14:textId="77777777" w:rsidR="00795833" w:rsidRDefault="00000000">
      <w:pPr>
        <w:spacing w:after="0" w:line="259" w:lineRule="auto"/>
        <w:ind w:left="20" w:firstLine="0"/>
      </w:pPr>
      <w:r>
        <w:t xml:space="preserve"> </w:t>
      </w:r>
    </w:p>
    <w:p w14:paraId="799CB666" w14:textId="77777777" w:rsidR="00795833" w:rsidRDefault="00000000">
      <w:pPr>
        <w:ind w:left="15" w:right="5"/>
      </w:pPr>
      <w:r>
        <w:t xml:space="preserve">Could you talk about what was or wasn’t done in THT to build both organizational and end user (care coordinator) buy in into this concept (community wide care coordination, community referral/data tracking, reducing the burden on the client, etc.) prior to launching the system? </w:t>
      </w:r>
    </w:p>
    <w:p w14:paraId="0C0E5DF8" w14:textId="77777777" w:rsidR="00795833" w:rsidRDefault="00000000">
      <w:pPr>
        <w:ind w:left="15" w:right="5"/>
      </w:pPr>
      <w:r>
        <w:t xml:space="preserve">The decision to implement NowPow, to select the specific screener questions, to engage in this research, and to guide the design of the research, was all done with our partner organizations throughout our CAB network. Certainly, there are more voices in hindsight that we would want to have included, but all this was done on top of a very active in person network in our relatively tightknit community. </w:t>
      </w:r>
    </w:p>
    <w:p w14:paraId="1E37B0C3" w14:textId="77777777" w:rsidR="00795833" w:rsidRDefault="00000000">
      <w:pPr>
        <w:spacing w:after="0" w:line="259" w:lineRule="auto"/>
        <w:ind w:left="20" w:firstLine="0"/>
      </w:pPr>
      <w:r>
        <w:t xml:space="preserve"> </w:t>
      </w:r>
    </w:p>
    <w:p w14:paraId="5984EF1F" w14:textId="77777777" w:rsidR="00795833" w:rsidRDefault="00000000">
      <w:pPr>
        <w:ind w:left="15" w:right="5"/>
      </w:pPr>
      <w:r>
        <w:t xml:space="preserve">Any campaigns to reach out directly to patients/clients and see if 'nurturing' bottom-up demand could nudge CBOs to use NowPow at a higher rate </w:t>
      </w:r>
    </w:p>
    <w:p w14:paraId="5BD660A3" w14:textId="77777777" w:rsidR="00795833" w:rsidRDefault="00000000">
      <w:pPr>
        <w:ind w:left="15" w:right="5"/>
      </w:pPr>
      <w:r>
        <w:t xml:space="preserve">That’s an interesting idea, although my sense is that clients/patients are already busy enough with their lives and may not see enough benefit to the platforms to have the time and motivation to advocate for this.   </w:t>
      </w:r>
    </w:p>
    <w:p w14:paraId="4A462807" w14:textId="77777777" w:rsidR="00795833" w:rsidRDefault="00000000">
      <w:pPr>
        <w:spacing w:after="0" w:line="259" w:lineRule="auto"/>
        <w:ind w:left="20" w:firstLine="0"/>
      </w:pPr>
      <w:r>
        <w:t xml:space="preserve"> </w:t>
      </w:r>
    </w:p>
    <w:p w14:paraId="007A7415" w14:textId="77777777" w:rsidR="00795833" w:rsidRDefault="00000000">
      <w:pPr>
        <w:ind w:left="15" w:right="5"/>
      </w:pPr>
      <w:r>
        <w:t xml:space="preserve">What about the partnerships with the referring organizations? Are they already connected with healthcare systems or do they not see it as part of their missions/priorities? </w:t>
      </w:r>
    </w:p>
    <w:p w14:paraId="74C3ED71" w14:textId="77777777" w:rsidR="00795833" w:rsidRDefault="00000000">
      <w:pPr>
        <w:ind w:left="15" w:right="5"/>
      </w:pPr>
      <w:r>
        <w:t xml:space="preserve">THT was created to be an integrator of the efforts of healthcare and community-based organizations. In our study, we spoke to both social service and health care organizations. Our resulting network of partners works together frequently and has built strong relationships. So, the work of this project and the technical rollout of the NowPow platform were built on top of pretty strong partnerships that already existed.   </w:t>
      </w:r>
    </w:p>
    <w:p w14:paraId="1B790183" w14:textId="77777777" w:rsidR="00795833" w:rsidRDefault="00000000">
      <w:pPr>
        <w:spacing w:after="55" w:line="259" w:lineRule="auto"/>
        <w:ind w:left="20" w:firstLine="0"/>
      </w:pPr>
      <w:r>
        <w:t xml:space="preserve"> </w:t>
      </w:r>
    </w:p>
    <w:p w14:paraId="0C3BCE8B" w14:textId="77777777" w:rsidR="00795833" w:rsidRDefault="00000000">
      <w:pPr>
        <w:pStyle w:val="Heading2"/>
        <w:ind w:left="15"/>
      </w:pPr>
      <w:r>
        <w:t xml:space="preserve">Multiple platform approaches </w:t>
      </w:r>
    </w:p>
    <w:p w14:paraId="6D6F56B4" w14:textId="77777777" w:rsidR="00795833" w:rsidRDefault="00000000">
      <w:pPr>
        <w:ind w:left="15" w:right="5"/>
      </w:pPr>
      <w:r>
        <w:t xml:space="preserve">FYI, in a different presentation, the Camden Coalition recently shared that they also initially tried to use a single-software platform approach, and concluded that it was not going to be workable – and instead are focused on capacities for cross-platform coordination. </w:t>
      </w:r>
    </w:p>
    <w:p w14:paraId="635E17AC" w14:textId="77777777" w:rsidR="00795833" w:rsidRDefault="00000000">
      <w:pPr>
        <w:ind w:left="15" w:right="5"/>
      </w:pPr>
      <w:r>
        <w:t xml:space="preserve">We have certainly discussed this quite a bit with our partners in Camden (and at the other RHHs). I think the cross-platform coordination will mean that we have to think of much more narrow functionality. But overall, this wasn’t a specific question of our research project. </w:t>
      </w:r>
    </w:p>
    <w:p w14:paraId="2BBF0B0F" w14:textId="77777777" w:rsidR="00795833" w:rsidRDefault="00000000">
      <w:pPr>
        <w:spacing w:after="0" w:line="259" w:lineRule="auto"/>
        <w:ind w:left="20" w:firstLine="0"/>
      </w:pPr>
      <w:r>
        <w:t xml:space="preserve"> </w:t>
      </w:r>
    </w:p>
    <w:p w14:paraId="5B1815AA" w14:textId="77777777" w:rsidR="00795833" w:rsidRDefault="00000000">
      <w:pPr>
        <w:ind w:left="15" w:right="119"/>
      </w:pPr>
      <w:r>
        <w:t xml:space="preserve">What were some key differences you experienced when using NowPow vs. Aunt Bertha/FindHelp? In the 2016/2017 timeframe, the main factor that prompted us to move from Aunt Bertha to NowPow was the quality of the resource directory. We found that very few organizations “claimed” their Aunt Bertha listings, which made the directory fairly incomplete/inaccurate. At that time, NowPow’s approach of calling all organizations to update the directory resulted in a better resource directory, </w:t>
      </w:r>
      <w:r>
        <w:lastRenderedPageBreak/>
        <w:t xml:space="preserve">and that was a big deciding factor in that decision. We can discuss more after the slides if this doesn’t fully answer your question. </w:t>
      </w:r>
    </w:p>
    <w:p w14:paraId="46040515" w14:textId="77777777" w:rsidR="00795833" w:rsidRDefault="00000000">
      <w:pPr>
        <w:spacing w:after="0" w:line="259" w:lineRule="auto"/>
        <w:ind w:left="20" w:firstLine="0"/>
      </w:pPr>
      <w:r>
        <w:t xml:space="preserve"> </w:t>
      </w:r>
    </w:p>
    <w:p w14:paraId="2343C6CE" w14:textId="77777777" w:rsidR="00795833" w:rsidRDefault="00000000">
      <w:pPr>
        <w:ind w:left="15" w:right="5"/>
      </w:pPr>
      <w:r>
        <w:t xml:space="preserve">Can you speak to whether 211 New Jersey was involved in this partnership? They maintain directory information in NJ by making phone calls… 211s usually struggle to establish sufficient capacity to maintain comprehensive data, but presumably this is the same struggle that an out of state vendor would charge to just do redundantly. Was 211 involved? </w:t>
      </w:r>
    </w:p>
    <w:p w14:paraId="7A2E8DF2" w14:textId="77777777" w:rsidR="00795833" w:rsidRDefault="00000000">
      <w:pPr>
        <w:ind w:left="15" w:right="5"/>
      </w:pPr>
      <w:r>
        <w:t xml:space="preserve">We have had several meetings with 211 over the past few years  to discuss ways to align and/or integrate our shared work, but they were not involved directly in this project. </w:t>
      </w:r>
    </w:p>
    <w:p w14:paraId="67087732" w14:textId="77777777" w:rsidR="00795833" w:rsidRDefault="00000000">
      <w:pPr>
        <w:spacing w:after="55" w:line="259" w:lineRule="auto"/>
        <w:ind w:left="20" w:firstLine="0"/>
      </w:pPr>
      <w:r>
        <w:t xml:space="preserve"> </w:t>
      </w:r>
    </w:p>
    <w:p w14:paraId="4AD1A3C9" w14:textId="77777777" w:rsidR="00795833" w:rsidRDefault="00000000">
      <w:pPr>
        <w:pStyle w:val="Heading2"/>
        <w:ind w:left="15"/>
      </w:pPr>
      <w:r>
        <w:t xml:space="preserve">THT NowPow Use and Cost Metrics </w:t>
      </w:r>
    </w:p>
    <w:p w14:paraId="67854210" w14:textId="77777777" w:rsidR="00795833" w:rsidRDefault="00000000">
      <w:pPr>
        <w:ind w:left="15" w:right="5"/>
      </w:pPr>
      <w:r>
        <w:t xml:space="preserve">Can you share the reported closed loop referral rate please? </w:t>
      </w:r>
    </w:p>
    <w:p w14:paraId="7E445D2A" w14:textId="77777777" w:rsidR="00795833" w:rsidRDefault="00000000">
      <w:pPr>
        <w:ind w:left="15" w:right="5"/>
      </w:pPr>
      <w:r>
        <w:t xml:space="preserve">Here are the data on the referrals since Jan 2019, of 649 total referrals, 378 were “successful”, 216 “unsuccessful”, and 55 “neutral. However, it should be noted that ultimately the rate of use of the platform for e-referrals is very low, so closed loop rate is not that meaningful. </w:t>
      </w:r>
    </w:p>
    <w:p w14:paraId="1FB7100B" w14:textId="77777777" w:rsidR="00795833" w:rsidRDefault="00000000">
      <w:pPr>
        <w:ind w:left="15" w:right="5"/>
      </w:pPr>
      <w:r>
        <w:t xml:space="preserve">Another participant using Unite Us provided their formula for CLR: </w:t>
      </w:r>
    </w:p>
    <w:p w14:paraId="4CEF2C2B" w14:textId="77777777" w:rsidR="00795833" w:rsidRDefault="00000000">
      <w:pPr>
        <w:ind w:left="15" w:right="5"/>
      </w:pPr>
      <w:r>
        <w:t>(Cases</w:t>
      </w:r>
      <w:r>
        <w:rPr>
          <w:rFonts w:ascii="Arial" w:eastAsia="Arial" w:hAnsi="Arial" w:cs="Arial"/>
        </w:rPr>
        <w:t> </w:t>
      </w:r>
      <w:r>
        <w:t>Closed(Resolved</w:t>
      </w:r>
      <w:r>
        <w:rPr>
          <w:rFonts w:ascii="Arial" w:eastAsia="Arial" w:hAnsi="Arial" w:cs="Arial"/>
        </w:rPr>
        <w:t> </w:t>
      </w:r>
      <w:r>
        <w:t>and</w:t>
      </w:r>
      <w:r>
        <w:rPr>
          <w:rFonts w:ascii="Arial" w:eastAsia="Arial" w:hAnsi="Arial" w:cs="Arial"/>
        </w:rPr>
        <w:t> </w:t>
      </w:r>
      <w:r>
        <w:t>Unresolved))/(Open</w:t>
      </w:r>
      <w:r>
        <w:rPr>
          <w:rFonts w:ascii="Arial" w:eastAsia="Arial" w:hAnsi="Arial" w:cs="Arial"/>
        </w:rPr>
        <w:t> </w:t>
      </w:r>
      <w:r>
        <w:t>Cases+Cases</w:t>
      </w:r>
      <w:r>
        <w:rPr>
          <w:rFonts w:ascii="Arial" w:eastAsia="Arial" w:hAnsi="Arial" w:cs="Arial"/>
        </w:rPr>
        <w:t> </w:t>
      </w:r>
      <w:r>
        <w:t>Closed</w:t>
      </w:r>
      <w:r>
        <w:rPr>
          <w:rFonts w:ascii="Arial" w:eastAsia="Arial" w:hAnsi="Arial" w:cs="Arial"/>
        </w:rPr>
        <w:t> </w:t>
      </w:r>
      <w:r>
        <w:t>(Resolved</w:t>
      </w:r>
      <w:r>
        <w:rPr>
          <w:rFonts w:ascii="Arial" w:eastAsia="Arial" w:hAnsi="Arial" w:cs="Arial"/>
        </w:rPr>
        <w:t> </w:t>
      </w:r>
      <w:r>
        <w:t>and</w:t>
      </w:r>
      <w:r>
        <w:rPr>
          <w:rFonts w:ascii="Arial" w:eastAsia="Arial" w:hAnsi="Arial" w:cs="Arial"/>
        </w:rPr>
        <w:t> </w:t>
      </w:r>
      <w:r>
        <w:t xml:space="preserve">Unresolved)) </w:t>
      </w:r>
    </w:p>
    <w:p w14:paraId="0E7E53FA" w14:textId="77777777" w:rsidR="00795833" w:rsidRDefault="00000000">
      <w:pPr>
        <w:spacing w:after="0" w:line="259" w:lineRule="auto"/>
        <w:ind w:left="20" w:firstLine="0"/>
      </w:pPr>
      <w:r>
        <w:t xml:space="preserve"> </w:t>
      </w:r>
    </w:p>
    <w:p w14:paraId="1F6855F2" w14:textId="77777777" w:rsidR="00795833" w:rsidRDefault="00000000">
      <w:pPr>
        <w:ind w:left="15" w:right="5"/>
      </w:pPr>
      <w:r>
        <w:t xml:space="preserve">Among the CBOs that are using the platform, approximately how many [tracked] referrals are being sent in a typical month? </w:t>
      </w:r>
    </w:p>
    <w:p w14:paraId="00B5DA44" w14:textId="77777777" w:rsidR="00795833" w:rsidRDefault="00000000">
      <w:pPr>
        <w:ind w:left="15" w:right="5"/>
      </w:pPr>
      <w:r>
        <w:t xml:space="preserve">In 2022, organizations on NowPow (except THT) sent an average of 14 tracked referrals a month. That is the average across </w:t>
      </w:r>
      <w:r>
        <w:rPr>
          <w:u w:val="single" w:color="000000"/>
        </w:rPr>
        <w:t xml:space="preserve">all </w:t>
      </w:r>
      <w:r>
        <w:t xml:space="preserve">CBOs, not per organization. </w:t>
      </w:r>
    </w:p>
    <w:p w14:paraId="5B8322C4" w14:textId="77777777" w:rsidR="00795833" w:rsidRDefault="00000000">
      <w:pPr>
        <w:spacing w:after="0" w:line="259" w:lineRule="auto"/>
        <w:ind w:left="20" w:firstLine="0"/>
      </w:pPr>
      <w:r>
        <w:t xml:space="preserve"> </w:t>
      </w:r>
    </w:p>
    <w:p w14:paraId="50D99EA8" w14:textId="77777777" w:rsidR="00795833" w:rsidRDefault="00000000">
      <w:pPr>
        <w:ind w:left="15" w:right="5"/>
      </w:pPr>
      <w:r>
        <w:t xml:space="preserve">Can you share the total investment to purchase, operate, &amp; support this initiative? </w:t>
      </w:r>
    </w:p>
    <w:p w14:paraId="47A87616" w14:textId="77777777" w:rsidR="00795833" w:rsidRDefault="00000000">
      <w:pPr>
        <w:ind w:left="15" w:right="5"/>
      </w:pPr>
      <w:r>
        <w:t xml:space="preserve">Our total cost of operating the NowPow platform has been approximately $250K per year, which includes the direct costs of the platform as well as THT staff time supporting the platform and our partners. That number does not include the costs related to the RWJF-funded research project and our partnership with SIREN. </w:t>
      </w:r>
    </w:p>
    <w:p w14:paraId="24C708C7" w14:textId="77777777" w:rsidR="00795833" w:rsidRDefault="00000000">
      <w:pPr>
        <w:spacing w:after="54" w:line="259" w:lineRule="auto"/>
        <w:ind w:left="20" w:firstLine="0"/>
      </w:pPr>
      <w:r>
        <w:t xml:space="preserve"> </w:t>
      </w:r>
    </w:p>
    <w:p w14:paraId="02A88B85" w14:textId="77777777" w:rsidR="00795833" w:rsidRDefault="00000000">
      <w:pPr>
        <w:pStyle w:val="Heading2"/>
        <w:ind w:left="15"/>
      </w:pPr>
      <w:r>
        <w:t>HIPAA</w:t>
      </w:r>
      <w:r>
        <w:rPr>
          <w:sz w:val="25"/>
        </w:rPr>
        <w:t xml:space="preserve"> </w:t>
      </w:r>
    </w:p>
    <w:p w14:paraId="16FD1CE6" w14:textId="77777777" w:rsidR="00795833" w:rsidRDefault="00000000">
      <w:pPr>
        <w:ind w:left="15" w:right="5"/>
      </w:pPr>
      <w:r>
        <w:t xml:space="preserve">Greg mentioned data going back into the HIE for providers, how are you handling data sharing from non-HIPAA covered entities? How well are third party vendors being regulated? </w:t>
      </w:r>
    </w:p>
    <w:p w14:paraId="074A6426" w14:textId="77777777" w:rsidR="00795833" w:rsidRDefault="00000000">
      <w:pPr>
        <w:ind w:left="15" w:right="5"/>
      </w:pPr>
      <w:r>
        <w:t xml:space="preserve">Our NowPow instance basically has two categories of users. Those who login via SSO from our HIE, and those who login separately from the NowPow URL. Only the HIE users have access to those documents within the HIE record. So, we really weren’t able to solve the question of sharing records across the HIPAA wall. I know that this is a current focus of many of the vendors. </w:t>
      </w:r>
    </w:p>
    <w:p w14:paraId="4BF0BFF3" w14:textId="77777777" w:rsidR="00795833" w:rsidRDefault="00000000">
      <w:pPr>
        <w:spacing w:after="0" w:line="259" w:lineRule="auto"/>
        <w:ind w:left="20" w:firstLine="0"/>
      </w:pPr>
      <w:r>
        <w:t xml:space="preserve"> </w:t>
      </w:r>
    </w:p>
    <w:p w14:paraId="6E00A551" w14:textId="77777777" w:rsidR="00795833" w:rsidRDefault="00000000">
      <w:pPr>
        <w:ind w:left="15" w:right="5"/>
      </w:pPr>
      <w:r>
        <w:t xml:space="preserve">Is there any barrier/concern about meeting HIPAA requirements for sharing info between hospital networks and CBOs in the referral platform? </w:t>
      </w:r>
    </w:p>
    <w:p w14:paraId="29D2FEAD" w14:textId="77777777" w:rsidR="00795833" w:rsidRDefault="00000000">
      <w:pPr>
        <w:ind w:left="15" w:right="5"/>
      </w:pPr>
      <w:r>
        <w:t xml:space="preserve">This is definitely a barrier, and we were not able to solve it. We are not able to share PHI-sourced data across the HIPAA wall (yet) </w:t>
      </w:r>
    </w:p>
    <w:p w14:paraId="1E80FC34" w14:textId="77777777" w:rsidR="00795833" w:rsidRDefault="00000000">
      <w:pPr>
        <w:spacing w:after="65" w:line="259" w:lineRule="auto"/>
        <w:ind w:left="20" w:firstLine="0"/>
      </w:pPr>
      <w:r>
        <w:t xml:space="preserve"> </w:t>
      </w:r>
    </w:p>
    <w:p w14:paraId="55582A0F" w14:textId="77777777" w:rsidR="00795833" w:rsidRDefault="00000000">
      <w:pPr>
        <w:pStyle w:val="Heading2"/>
        <w:ind w:left="15"/>
      </w:pPr>
      <w:r>
        <w:lastRenderedPageBreak/>
        <w:t xml:space="preserve">Social Needs Screening </w:t>
      </w:r>
    </w:p>
    <w:p w14:paraId="3252731E" w14:textId="77777777" w:rsidR="00795833" w:rsidRDefault="00000000">
      <w:pPr>
        <w:ind w:left="15" w:right="5"/>
      </w:pPr>
      <w:r>
        <w:t xml:space="preserve">Was there any standard social needs screen being used across organizations, besides what the referral hub was providing? </w:t>
      </w:r>
    </w:p>
    <w:p w14:paraId="20170E6E" w14:textId="77777777" w:rsidR="00795833" w:rsidRDefault="00000000">
      <w:pPr>
        <w:ind w:left="15" w:right="5"/>
      </w:pPr>
      <w:r>
        <w:t xml:space="preserve">Yes, we assembled a committee of social workers and other staff from our partners, and that group reviewed the different options of evidence-based screening tools. They ended up selecting the specific questions from across those tools that they thought would be most effective, and we then developed a standardized screening tool to be used across Trenton. That screener was then built into NowPow. </w:t>
      </w:r>
    </w:p>
    <w:p w14:paraId="2F916535" w14:textId="77777777" w:rsidR="00795833" w:rsidRDefault="00000000">
      <w:pPr>
        <w:spacing w:after="0" w:line="259" w:lineRule="auto"/>
        <w:ind w:left="20" w:firstLine="0"/>
      </w:pPr>
      <w:r>
        <w:t xml:space="preserve"> </w:t>
      </w:r>
    </w:p>
    <w:p w14:paraId="77E47486" w14:textId="77777777" w:rsidR="00795833" w:rsidRDefault="00000000">
      <w:pPr>
        <w:ind w:left="15" w:right="5"/>
      </w:pPr>
      <w:r>
        <w:t xml:space="preserve">Can you share your social needs screening tool? </w:t>
      </w:r>
    </w:p>
    <w:p w14:paraId="12572375" w14:textId="77777777" w:rsidR="00795833" w:rsidRDefault="00000000">
      <w:pPr>
        <w:ind w:left="15" w:right="5"/>
      </w:pPr>
      <w:r>
        <w:t xml:space="preserve">The THT social screening tool is now available as link on our project webpage: </w:t>
      </w:r>
    </w:p>
    <w:p w14:paraId="33F7ECD6" w14:textId="77777777" w:rsidR="00795833" w:rsidRDefault="00000000">
      <w:pPr>
        <w:spacing w:after="5" w:line="249" w:lineRule="auto"/>
        <w:ind w:left="15"/>
      </w:pPr>
      <w:r>
        <w:rPr>
          <w:color w:val="1154CC"/>
          <w:u w:val="single" w:color="1154CC"/>
        </w:rPr>
        <w:t>https://trentonhealthteam.org/projects/harpp-research-project/</w:t>
      </w:r>
      <w:r>
        <w:t xml:space="preserve">  </w:t>
      </w:r>
    </w:p>
    <w:p w14:paraId="4945A376" w14:textId="77777777" w:rsidR="00795833" w:rsidRDefault="00000000">
      <w:pPr>
        <w:spacing w:after="0" w:line="259" w:lineRule="auto"/>
        <w:ind w:left="20" w:firstLine="0"/>
      </w:pPr>
      <w:r>
        <w:t xml:space="preserve"> </w:t>
      </w:r>
    </w:p>
    <w:p w14:paraId="0F9CB7EB" w14:textId="77777777" w:rsidR="00795833" w:rsidRDefault="00000000">
      <w:pPr>
        <w:pStyle w:val="Heading2"/>
        <w:ind w:left="15"/>
      </w:pPr>
      <w:r>
        <w:t xml:space="preserve">Questions about Specific Strategies/ProduceRx </w:t>
      </w:r>
    </w:p>
    <w:p w14:paraId="0A4861E1" w14:textId="77777777" w:rsidR="00795833" w:rsidRDefault="00000000">
      <w:pPr>
        <w:ind w:left="15" w:right="5"/>
      </w:pPr>
      <w:r>
        <w:t xml:space="preserve">How many CBOs were in the hub? || I am also now wondering what CBOs were available in the referral hub. For an example, I may refer to CBO 1 for housing whereas a different social worker may refer to CBO 2. But neither of us might use the referral hub if the only CBO in the hub is CBO 3. </w:t>
      </w:r>
    </w:p>
    <w:p w14:paraId="15DFAE5C" w14:textId="77777777" w:rsidR="00795833" w:rsidRDefault="00000000">
      <w:pPr>
        <w:ind w:left="15" w:right="5"/>
      </w:pPr>
      <w:r>
        <w:t xml:space="preserve">The referral hub could refer to any organization that had signed up to be part of the network, which was a large number of Trenton organizations. </w:t>
      </w:r>
    </w:p>
    <w:p w14:paraId="4130CD0C" w14:textId="77777777" w:rsidR="00795833" w:rsidRDefault="00000000">
      <w:pPr>
        <w:spacing w:after="0" w:line="259" w:lineRule="auto"/>
        <w:ind w:left="20" w:firstLine="0"/>
      </w:pPr>
      <w:r>
        <w:t xml:space="preserve"> </w:t>
      </w:r>
    </w:p>
    <w:p w14:paraId="08372618" w14:textId="77777777" w:rsidR="00795833" w:rsidRDefault="00000000">
      <w:pPr>
        <w:ind w:left="15" w:right="5"/>
      </w:pPr>
      <w:r>
        <w:t xml:space="preserve">Did the referral hub include healthcare system partners? </w:t>
      </w:r>
    </w:p>
    <w:p w14:paraId="46BD2D4D" w14:textId="77777777" w:rsidR="00795833" w:rsidRDefault="00000000">
      <w:pPr>
        <w:ind w:left="15" w:right="5"/>
      </w:pPr>
      <w:r>
        <w:t xml:space="preserve">The referral hub was implemented with a housing organization and an after school program. </w:t>
      </w:r>
    </w:p>
    <w:p w14:paraId="627FC0DB" w14:textId="77777777" w:rsidR="00795833" w:rsidRDefault="00000000">
      <w:pPr>
        <w:spacing w:after="0" w:line="259" w:lineRule="auto"/>
        <w:ind w:left="20" w:firstLine="0"/>
      </w:pPr>
      <w:r>
        <w:t xml:space="preserve"> </w:t>
      </w:r>
    </w:p>
    <w:p w14:paraId="5A168240" w14:textId="77777777" w:rsidR="00795833" w:rsidRDefault="00000000">
      <w:pPr>
        <w:ind w:left="15" w:right="5"/>
      </w:pPr>
      <w:r>
        <w:t xml:space="preserve">Did the referral hub operate similarly to the Unite Us coordination center or network hub approach? The referral hub we tested was a direct referral to THT’s internal Care Management Team, which is a Community Health Worker based model overseen by an RN. </w:t>
      </w:r>
    </w:p>
    <w:p w14:paraId="2C8FB249" w14:textId="77777777" w:rsidR="00795833" w:rsidRDefault="00000000">
      <w:pPr>
        <w:ind w:left="15" w:right="5"/>
      </w:pPr>
      <w:r>
        <w:t xml:space="preserve">A webinar participant from Unite Us also shared that the coordination center functionality/network hub in Unite Us operates differently, where the coordination operates at the center of the network etc.  </w:t>
      </w:r>
    </w:p>
    <w:p w14:paraId="1FB7569D" w14:textId="77777777" w:rsidR="00795833" w:rsidRDefault="00000000">
      <w:pPr>
        <w:spacing w:after="0" w:line="259" w:lineRule="auto"/>
        <w:ind w:left="20" w:firstLine="0"/>
      </w:pPr>
      <w:r>
        <w:t xml:space="preserve"> </w:t>
      </w:r>
    </w:p>
    <w:p w14:paraId="5782926F" w14:textId="77777777" w:rsidR="00795833" w:rsidRDefault="00000000">
      <w:pPr>
        <w:ind w:left="15" w:right="5"/>
      </w:pPr>
      <w:r>
        <w:t xml:space="preserve">Were organizations given the option to participate in multiple strategies? Understand the resourcestrain on THT, but wondering if there's any opportunities in the crossover </w:t>
      </w:r>
    </w:p>
    <w:p w14:paraId="47389E84" w14:textId="77777777" w:rsidR="00795833" w:rsidRDefault="00000000">
      <w:pPr>
        <w:ind w:left="15" w:right="5"/>
      </w:pPr>
      <w:r>
        <w:t xml:space="preserve">There was crossover for the media campaign as that was pushed out to every organization, but we kept the other strategies separate because we wanted to be able to know the impact of each separately. But yes it's possible that if we had done all three to the same organizations it might have had more of an impact. </w:t>
      </w:r>
    </w:p>
    <w:p w14:paraId="622600E6" w14:textId="77777777" w:rsidR="00795833" w:rsidRDefault="00000000">
      <w:pPr>
        <w:spacing w:after="0" w:line="259" w:lineRule="auto"/>
        <w:ind w:left="20" w:firstLine="0"/>
      </w:pPr>
      <w:r>
        <w:t xml:space="preserve"> </w:t>
      </w:r>
    </w:p>
    <w:p w14:paraId="66FD5450" w14:textId="77777777" w:rsidR="00795833" w:rsidRDefault="00000000">
      <w:pPr>
        <w:ind w:left="15" w:right="5"/>
      </w:pPr>
      <w:r>
        <w:t xml:space="preserve">Did referrals to other CBOs go up after the Prescription Food Rx program requiring Now Pow referral was implemented? || Did the produce program requirement increase use of NowPow for other programs (i.e., for NowPow use in general) or was the increase in use solely due to the activity that program generated (for access to it)? </w:t>
      </w:r>
    </w:p>
    <w:p w14:paraId="1F987C52" w14:textId="77777777" w:rsidR="00795833" w:rsidRDefault="00000000">
      <w:pPr>
        <w:ind w:left="15" w:right="5"/>
      </w:pPr>
      <w:r>
        <w:t xml:space="preserve">No, sadly. The increase in use was really limited just to that program and there were no other referrals. </w:t>
      </w:r>
    </w:p>
    <w:p w14:paraId="37E627E9" w14:textId="77777777" w:rsidR="00795833" w:rsidRDefault="00000000">
      <w:pPr>
        <w:spacing w:after="0" w:line="259" w:lineRule="auto"/>
        <w:ind w:left="20" w:firstLine="0"/>
      </w:pPr>
      <w:r>
        <w:t xml:space="preserve"> </w:t>
      </w:r>
    </w:p>
    <w:p w14:paraId="1395F27C" w14:textId="77777777" w:rsidR="00795833" w:rsidRDefault="00000000">
      <w:pPr>
        <w:ind w:left="15" w:right="5"/>
      </w:pPr>
      <w:r>
        <w:t xml:space="preserve">Were the tailored trainings done virtually? Recorded? </w:t>
      </w:r>
    </w:p>
    <w:p w14:paraId="7A84348B" w14:textId="77777777" w:rsidR="00795833" w:rsidRDefault="00000000">
      <w:pPr>
        <w:ind w:left="15" w:right="5"/>
      </w:pPr>
      <w:r>
        <w:t xml:space="preserve">The trainings were virtual. </w:t>
      </w:r>
    </w:p>
    <w:p w14:paraId="3CE0ACDC" w14:textId="77777777" w:rsidR="00795833" w:rsidRDefault="00000000">
      <w:pPr>
        <w:spacing w:after="55" w:line="259" w:lineRule="auto"/>
        <w:ind w:left="20" w:firstLine="0"/>
      </w:pPr>
      <w:r>
        <w:t xml:space="preserve"> </w:t>
      </w:r>
    </w:p>
    <w:p w14:paraId="12545136" w14:textId="77777777" w:rsidR="00795833" w:rsidRDefault="00000000">
      <w:pPr>
        <w:pStyle w:val="Heading2"/>
        <w:ind w:left="15"/>
      </w:pPr>
      <w:r>
        <w:lastRenderedPageBreak/>
        <w:t xml:space="preserve">Facilitators/Barriers to Use </w:t>
      </w:r>
    </w:p>
    <w:p w14:paraId="47BC3D90" w14:textId="77777777" w:rsidR="00795833" w:rsidRDefault="00000000">
      <w:pPr>
        <w:ind w:left="15" w:right="5"/>
      </w:pPr>
      <w:r>
        <w:t xml:space="preserve">What types of workflows/systems are CBOs currently using? </w:t>
      </w:r>
    </w:p>
    <w:p w14:paraId="1B9298F4" w14:textId="77777777" w:rsidR="00795833" w:rsidRDefault="00000000">
      <w:pPr>
        <w:ind w:left="15" w:right="5"/>
      </w:pPr>
      <w:r>
        <w:t xml:space="preserve">A wide variety: some have tools that are required e.g., HMIS, some other tools include Good Grid, </w:t>
      </w:r>
    </w:p>
    <w:p w14:paraId="620281BC" w14:textId="77777777" w:rsidR="00795833" w:rsidRDefault="00000000">
      <w:pPr>
        <w:ind w:left="15" w:right="5"/>
      </w:pPr>
      <w:r>
        <w:t xml:space="preserve">Apricot, SPECT </w:t>
      </w:r>
    </w:p>
    <w:p w14:paraId="1537F2E0" w14:textId="77777777" w:rsidR="00795833" w:rsidRDefault="00000000">
      <w:pPr>
        <w:spacing w:after="0" w:line="259" w:lineRule="auto"/>
        <w:ind w:left="20" w:firstLine="0"/>
      </w:pPr>
      <w:r>
        <w:t xml:space="preserve"> </w:t>
      </w:r>
    </w:p>
    <w:p w14:paraId="1E6D2C3B" w14:textId="77777777" w:rsidR="00795833" w:rsidRDefault="00000000">
      <w:pPr>
        <w:ind w:left="15" w:right="5"/>
      </w:pPr>
      <w:r>
        <w:t xml:space="preserve">What did you find when you interviewed the people who were actually logging in to use the platform? </w:t>
      </w:r>
    </w:p>
    <w:p w14:paraId="5D469764" w14:textId="77777777" w:rsidR="00795833" w:rsidRDefault="00000000">
      <w:pPr>
        <w:ind w:left="15" w:right="5"/>
      </w:pPr>
      <w:r>
        <w:t xml:space="preserve">Why were those users on the platform? </w:t>
      </w:r>
    </w:p>
    <w:p w14:paraId="782ACDDD" w14:textId="77777777" w:rsidR="00795833" w:rsidRDefault="00000000">
      <w:pPr>
        <w:ind w:left="15" w:right="5"/>
      </w:pPr>
      <w:r>
        <w:t xml:space="preserve">They used it mostly for the referral directory, and they were much more likely to be people who were not already familiar with resources, or were getting asked for help for an issue they weren't familiar with. </w:t>
      </w:r>
    </w:p>
    <w:p w14:paraId="1D287EC3" w14:textId="77777777" w:rsidR="00795833" w:rsidRDefault="00000000">
      <w:pPr>
        <w:spacing w:after="55" w:line="259" w:lineRule="auto"/>
        <w:ind w:left="20" w:firstLine="0"/>
      </w:pPr>
      <w:r>
        <w:t xml:space="preserve"> </w:t>
      </w:r>
    </w:p>
    <w:p w14:paraId="3593D2D6" w14:textId="77777777" w:rsidR="00795833" w:rsidRDefault="00000000">
      <w:pPr>
        <w:pStyle w:val="Heading2"/>
        <w:ind w:left="15"/>
      </w:pPr>
      <w:r>
        <w:t xml:space="preserve">Other </w:t>
      </w:r>
    </w:p>
    <w:p w14:paraId="030C26F9" w14:textId="77777777" w:rsidR="00795833" w:rsidRDefault="00000000">
      <w:pPr>
        <w:ind w:left="15" w:right="5"/>
      </w:pPr>
      <w:r>
        <w:t xml:space="preserve">What does the Pow refer to in NowPow? </w:t>
      </w:r>
    </w:p>
    <w:p w14:paraId="043FE006" w14:textId="77777777" w:rsidR="00795833" w:rsidRDefault="00000000">
      <w:pPr>
        <w:ind w:left="15" w:right="5"/>
      </w:pPr>
      <w:r>
        <w:t xml:space="preserve">The name NowPow comes from Knowledge is Power </w:t>
      </w:r>
    </w:p>
    <w:p w14:paraId="2181F730" w14:textId="77777777" w:rsidR="00795833" w:rsidRDefault="00000000">
      <w:pPr>
        <w:spacing w:after="0" w:line="259" w:lineRule="auto"/>
        <w:ind w:left="20" w:firstLine="0"/>
      </w:pPr>
      <w:r>
        <w:t xml:space="preserve"> </w:t>
      </w:r>
    </w:p>
    <w:p w14:paraId="11F4AEF8" w14:textId="77777777" w:rsidR="00795833" w:rsidRDefault="00000000">
      <w:pPr>
        <w:ind w:left="15" w:right="5"/>
      </w:pPr>
      <w:r>
        <w:t xml:space="preserve">Have you evaluated implementations of the DR&amp;R platforms where comprehensive, communitybased care coordination systems exist and collaborate, e.g., like the Pathways Community HUB Institute model which has national certification and QI built in? </w:t>
      </w:r>
    </w:p>
    <w:p w14:paraId="72E90FB5" w14:textId="77777777" w:rsidR="00795833" w:rsidRDefault="00000000">
      <w:pPr>
        <w:ind w:left="15" w:right="5"/>
      </w:pPr>
      <w:r>
        <w:t xml:space="preserve">That's a little what the referral hub was trying to do, but it was a very minimal version. I do think that when a tool like this is used as a support for a hub that is powered by people it may be much more effective and helpful. </w:t>
      </w:r>
    </w:p>
    <w:p w14:paraId="720C905E" w14:textId="77777777" w:rsidR="00795833" w:rsidRDefault="00000000">
      <w:pPr>
        <w:ind w:left="15" w:right="5"/>
      </w:pPr>
      <w:r>
        <w:t xml:space="preserve">The participant who asked the question responded: That was my thought as well when I saw the Hub mentioned... that the HUB might empower the DR&amp;R platform.  At PCHI, we believe the care coordination system must be developed (by redesigning the local delivery system) to ensure one care coordinator per client (vs the multiple we see in most communities pre-Pathways implementation). and the local delivery system is then able to optimize the on the ground care coordinators with a data collection and referral system.  We see much higher closed loop referral rates that go beyond what I hear from communities using only DR&amp;R platforms.  We are very interested in teaming with DR&amp;R platforms to create the required synergy required to impact referral completion and improve health results. </w:t>
      </w:r>
    </w:p>
    <w:p w14:paraId="670B673F" w14:textId="77777777" w:rsidR="00795833" w:rsidRDefault="00000000">
      <w:pPr>
        <w:spacing w:after="0" w:line="259" w:lineRule="auto"/>
        <w:ind w:left="20" w:firstLine="0"/>
      </w:pPr>
      <w:r>
        <w:t xml:space="preserve"> </w:t>
      </w:r>
    </w:p>
    <w:p w14:paraId="3B84DAE4" w14:textId="77777777" w:rsidR="00795833" w:rsidRDefault="00000000">
      <w:pPr>
        <w:ind w:left="15" w:right="5"/>
      </w:pPr>
      <w:r>
        <w:t xml:space="preserve">Does CMS or Joint Commission have any mandates on how to address SDoH - or community needs? </w:t>
      </w:r>
    </w:p>
    <w:p w14:paraId="72CE3218" w14:textId="77777777" w:rsidR="00795833" w:rsidRDefault="00000000">
      <w:pPr>
        <w:ind w:left="15" w:right="5"/>
      </w:pPr>
      <w:r>
        <w:t xml:space="preserve">Using a platform? </w:t>
      </w:r>
    </w:p>
    <w:p w14:paraId="6B64B7AE" w14:textId="77777777" w:rsidR="00795833" w:rsidRDefault="00000000">
      <w:pPr>
        <w:ind w:left="15" w:right="5"/>
      </w:pPr>
      <w:r>
        <w:t xml:space="preserve">To our knowledge, the mandates/metrics to date are around screening, not (yet?) on specific interventions or tools to address needs. If you’re interested in this topic we suggest you check out SIREN’s recent webinar with the State Health &amp; Value Strategies group: Exploring the New National </w:t>
      </w:r>
    </w:p>
    <w:p w14:paraId="11E77CE2" w14:textId="77777777" w:rsidR="00795833" w:rsidRDefault="00000000">
      <w:pPr>
        <w:spacing w:after="5" w:line="249" w:lineRule="auto"/>
        <w:ind w:left="15"/>
      </w:pPr>
      <w:r>
        <w:t xml:space="preserve">Social Care Quality Measures: How Do We Define and Measure Social Needs and High-Quality Social Care? </w:t>
      </w:r>
      <w:r>
        <w:rPr>
          <w:color w:val="1154CC"/>
          <w:u w:val="single" w:color="1154CC"/>
        </w:rPr>
        <w:t>https://sirenetwork.ucsf.edu/tools-resources/resources/exploring-new-national-social-carequality-measures-how-do-we-define-and</w:t>
      </w:r>
      <w:r>
        <w:t xml:space="preserve">  </w:t>
      </w:r>
    </w:p>
    <w:p w14:paraId="78AEA884" w14:textId="77777777" w:rsidR="00795833" w:rsidRDefault="00000000">
      <w:pPr>
        <w:spacing w:after="0" w:line="259" w:lineRule="auto"/>
        <w:ind w:left="20" w:firstLine="0"/>
      </w:pPr>
      <w:r>
        <w:t xml:space="preserve"> </w:t>
      </w:r>
    </w:p>
    <w:sectPr w:rsidR="00795833">
      <w:pgSz w:w="12240" w:h="15840"/>
      <w:pgMar w:top="1439" w:right="1445" w:bottom="1452"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A51D2"/>
    <w:multiLevelType w:val="hybridMultilevel"/>
    <w:tmpl w:val="6E901C46"/>
    <w:lvl w:ilvl="0" w:tplc="264812CA">
      <w:start w:val="1"/>
      <w:numFmt w:val="decimal"/>
      <w:lvlText w:val="%1."/>
      <w:lvlJc w:val="left"/>
      <w:pPr>
        <w:ind w:left="214"/>
      </w:pPr>
      <w:rPr>
        <w:rFonts w:ascii="Source Sans Pro" w:eastAsia="Source Sans Pro" w:hAnsi="Source Sans Pro" w:cs="Source Sans Pro"/>
        <w:b w:val="0"/>
        <w:i w:val="0"/>
        <w:strike w:val="0"/>
        <w:dstrike w:val="0"/>
        <w:color w:val="000000"/>
        <w:sz w:val="22"/>
        <w:szCs w:val="22"/>
        <w:u w:val="none" w:color="000000"/>
        <w:bdr w:val="none" w:sz="0" w:space="0" w:color="auto"/>
        <w:shd w:val="clear" w:color="auto" w:fill="auto"/>
        <w:vertAlign w:val="baseline"/>
      </w:rPr>
    </w:lvl>
    <w:lvl w:ilvl="1" w:tplc="3BC4446C">
      <w:start w:val="1"/>
      <w:numFmt w:val="lowerLetter"/>
      <w:lvlText w:val="%2"/>
      <w:lvlJc w:val="left"/>
      <w:pPr>
        <w:ind w:left="1100"/>
      </w:pPr>
      <w:rPr>
        <w:rFonts w:ascii="Source Sans Pro" w:eastAsia="Source Sans Pro" w:hAnsi="Source Sans Pro" w:cs="Source Sans Pro"/>
        <w:b w:val="0"/>
        <w:i w:val="0"/>
        <w:strike w:val="0"/>
        <w:dstrike w:val="0"/>
        <w:color w:val="000000"/>
        <w:sz w:val="22"/>
        <w:szCs w:val="22"/>
        <w:u w:val="none" w:color="000000"/>
        <w:bdr w:val="none" w:sz="0" w:space="0" w:color="auto"/>
        <w:shd w:val="clear" w:color="auto" w:fill="auto"/>
        <w:vertAlign w:val="baseline"/>
      </w:rPr>
    </w:lvl>
    <w:lvl w:ilvl="2" w:tplc="6298FE98">
      <w:start w:val="1"/>
      <w:numFmt w:val="lowerRoman"/>
      <w:lvlText w:val="%3"/>
      <w:lvlJc w:val="left"/>
      <w:pPr>
        <w:ind w:left="1820"/>
      </w:pPr>
      <w:rPr>
        <w:rFonts w:ascii="Source Sans Pro" w:eastAsia="Source Sans Pro" w:hAnsi="Source Sans Pro" w:cs="Source Sans Pro"/>
        <w:b w:val="0"/>
        <w:i w:val="0"/>
        <w:strike w:val="0"/>
        <w:dstrike w:val="0"/>
        <w:color w:val="000000"/>
        <w:sz w:val="22"/>
        <w:szCs w:val="22"/>
        <w:u w:val="none" w:color="000000"/>
        <w:bdr w:val="none" w:sz="0" w:space="0" w:color="auto"/>
        <w:shd w:val="clear" w:color="auto" w:fill="auto"/>
        <w:vertAlign w:val="baseline"/>
      </w:rPr>
    </w:lvl>
    <w:lvl w:ilvl="3" w:tplc="AD4CF2F4">
      <w:start w:val="1"/>
      <w:numFmt w:val="decimal"/>
      <w:lvlText w:val="%4"/>
      <w:lvlJc w:val="left"/>
      <w:pPr>
        <w:ind w:left="2540"/>
      </w:pPr>
      <w:rPr>
        <w:rFonts w:ascii="Source Sans Pro" w:eastAsia="Source Sans Pro" w:hAnsi="Source Sans Pro" w:cs="Source Sans Pro"/>
        <w:b w:val="0"/>
        <w:i w:val="0"/>
        <w:strike w:val="0"/>
        <w:dstrike w:val="0"/>
        <w:color w:val="000000"/>
        <w:sz w:val="22"/>
        <w:szCs w:val="22"/>
        <w:u w:val="none" w:color="000000"/>
        <w:bdr w:val="none" w:sz="0" w:space="0" w:color="auto"/>
        <w:shd w:val="clear" w:color="auto" w:fill="auto"/>
        <w:vertAlign w:val="baseline"/>
      </w:rPr>
    </w:lvl>
    <w:lvl w:ilvl="4" w:tplc="05445E08">
      <w:start w:val="1"/>
      <w:numFmt w:val="lowerLetter"/>
      <w:lvlText w:val="%5"/>
      <w:lvlJc w:val="left"/>
      <w:pPr>
        <w:ind w:left="3260"/>
      </w:pPr>
      <w:rPr>
        <w:rFonts w:ascii="Source Sans Pro" w:eastAsia="Source Sans Pro" w:hAnsi="Source Sans Pro" w:cs="Source Sans Pro"/>
        <w:b w:val="0"/>
        <w:i w:val="0"/>
        <w:strike w:val="0"/>
        <w:dstrike w:val="0"/>
        <w:color w:val="000000"/>
        <w:sz w:val="22"/>
        <w:szCs w:val="22"/>
        <w:u w:val="none" w:color="000000"/>
        <w:bdr w:val="none" w:sz="0" w:space="0" w:color="auto"/>
        <w:shd w:val="clear" w:color="auto" w:fill="auto"/>
        <w:vertAlign w:val="baseline"/>
      </w:rPr>
    </w:lvl>
    <w:lvl w:ilvl="5" w:tplc="CF12853E">
      <w:start w:val="1"/>
      <w:numFmt w:val="lowerRoman"/>
      <w:lvlText w:val="%6"/>
      <w:lvlJc w:val="left"/>
      <w:pPr>
        <w:ind w:left="3980"/>
      </w:pPr>
      <w:rPr>
        <w:rFonts w:ascii="Source Sans Pro" w:eastAsia="Source Sans Pro" w:hAnsi="Source Sans Pro" w:cs="Source Sans Pro"/>
        <w:b w:val="0"/>
        <w:i w:val="0"/>
        <w:strike w:val="0"/>
        <w:dstrike w:val="0"/>
        <w:color w:val="000000"/>
        <w:sz w:val="22"/>
        <w:szCs w:val="22"/>
        <w:u w:val="none" w:color="000000"/>
        <w:bdr w:val="none" w:sz="0" w:space="0" w:color="auto"/>
        <w:shd w:val="clear" w:color="auto" w:fill="auto"/>
        <w:vertAlign w:val="baseline"/>
      </w:rPr>
    </w:lvl>
    <w:lvl w:ilvl="6" w:tplc="34A05F90">
      <w:start w:val="1"/>
      <w:numFmt w:val="decimal"/>
      <w:lvlText w:val="%7"/>
      <w:lvlJc w:val="left"/>
      <w:pPr>
        <w:ind w:left="4700"/>
      </w:pPr>
      <w:rPr>
        <w:rFonts w:ascii="Source Sans Pro" w:eastAsia="Source Sans Pro" w:hAnsi="Source Sans Pro" w:cs="Source Sans Pro"/>
        <w:b w:val="0"/>
        <w:i w:val="0"/>
        <w:strike w:val="0"/>
        <w:dstrike w:val="0"/>
        <w:color w:val="000000"/>
        <w:sz w:val="22"/>
        <w:szCs w:val="22"/>
        <w:u w:val="none" w:color="000000"/>
        <w:bdr w:val="none" w:sz="0" w:space="0" w:color="auto"/>
        <w:shd w:val="clear" w:color="auto" w:fill="auto"/>
        <w:vertAlign w:val="baseline"/>
      </w:rPr>
    </w:lvl>
    <w:lvl w:ilvl="7" w:tplc="A2369F32">
      <w:start w:val="1"/>
      <w:numFmt w:val="lowerLetter"/>
      <w:lvlText w:val="%8"/>
      <w:lvlJc w:val="left"/>
      <w:pPr>
        <w:ind w:left="5420"/>
      </w:pPr>
      <w:rPr>
        <w:rFonts w:ascii="Source Sans Pro" w:eastAsia="Source Sans Pro" w:hAnsi="Source Sans Pro" w:cs="Source Sans Pro"/>
        <w:b w:val="0"/>
        <w:i w:val="0"/>
        <w:strike w:val="0"/>
        <w:dstrike w:val="0"/>
        <w:color w:val="000000"/>
        <w:sz w:val="22"/>
        <w:szCs w:val="22"/>
        <w:u w:val="none" w:color="000000"/>
        <w:bdr w:val="none" w:sz="0" w:space="0" w:color="auto"/>
        <w:shd w:val="clear" w:color="auto" w:fill="auto"/>
        <w:vertAlign w:val="baseline"/>
      </w:rPr>
    </w:lvl>
    <w:lvl w:ilvl="8" w:tplc="AEA6A074">
      <w:start w:val="1"/>
      <w:numFmt w:val="lowerRoman"/>
      <w:lvlText w:val="%9"/>
      <w:lvlJc w:val="left"/>
      <w:pPr>
        <w:ind w:left="6140"/>
      </w:pPr>
      <w:rPr>
        <w:rFonts w:ascii="Source Sans Pro" w:eastAsia="Source Sans Pro" w:hAnsi="Source Sans Pro" w:cs="Source Sans Pro"/>
        <w:b w:val="0"/>
        <w:i w:val="0"/>
        <w:strike w:val="0"/>
        <w:dstrike w:val="0"/>
        <w:color w:val="000000"/>
        <w:sz w:val="22"/>
        <w:szCs w:val="22"/>
        <w:u w:val="none" w:color="000000"/>
        <w:bdr w:val="none" w:sz="0" w:space="0" w:color="auto"/>
        <w:shd w:val="clear" w:color="auto" w:fill="auto"/>
        <w:vertAlign w:val="baseline"/>
      </w:rPr>
    </w:lvl>
  </w:abstractNum>
  <w:num w:numId="1" w16cid:durableId="42515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33"/>
    <w:rsid w:val="00795833"/>
    <w:rsid w:val="00C2012A"/>
    <w:rsid w:val="00D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845467"/>
  <w15:docId w15:val="{29256D9D-7AD5-4547-AA12-254EA044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0" w:hanging="10"/>
    </w:pPr>
    <w:rPr>
      <w:rFonts w:ascii="Source Sans Pro" w:eastAsia="Source Sans Pro" w:hAnsi="Source Sans Pro" w:cs="Source Sans Pro"/>
      <w:color w:val="000000"/>
      <w:sz w:val="22"/>
    </w:rPr>
  </w:style>
  <w:style w:type="paragraph" w:styleId="Heading1">
    <w:name w:val="heading 1"/>
    <w:next w:val="Normal"/>
    <w:link w:val="Heading1Char"/>
    <w:uiPriority w:val="9"/>
    <w:qFormat/>
    <w:pPr>
      <w:keepNext/>
      <w:keepLines/>
      <w:spacing w:after="0" w:line="259" w:lineRule="auto"/>
      <w:ind w:left="20"/>
      <w:outlineLvl w:val="0"/>
    </w:pPr>
    <w:rPr>
      <w:rFonts w:ascii="Source Sans Pro" w:eastAsia="Source Sans Pro" w:hAnsi="Source Sans Pro" w:cs="Source Sans Pro"/>
      <w:color w:val="431D7D"/>
      <w:sz w:val="32"/>
    </w:rPr>
  </w:style>
  <w:style w:type="paragraph" w:styleId="Heading2">
    <w:name w:val="heading 2"/>
    <w:next w:val="Normal"/>
    <w:link w:val="Heading2Char"/>
    <w:uiPriority w:val="9"/>
    <w:unhideWhenUsed/>
    <w:qFormat/>
    <w:pPr>
      <w:keepNext/>
      <w:keepLines/>
      <w:spacing w:after="0" w:line="259" w:lineRule="auto"/>
      <w:ind w:left="30" w:hanging="10"/>
      <w:outlineLvl w:val="1"/>
    </w:pPr>
    <w:rPr>
      <w:rFonts w:ascii="Source Sans Pro" w:eastAsia="Source Sans Pro" w:hAnsi="Source Sans Pro" w:cs="Source Sans Pro"/>
      <w:color w:val="EF893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ource Sans Pro" w:eastAsia="Source Sans Pro" w:hAnsi="Source Sans Pro" w:cs="Source Sans Pro"/>
      <w:color w:val="EF8933"/>
      <w:sz w:val="26"/>
    </w:rPr>
  </w:style>
  <w:style w:type="character" w:customStyle="1" w:styleId="Heading1Char">
    <w:name w:val="Heading 1 Char"/>
    <w:link w:val="Heading1"/>
    <w:rPr>
      <w:rFonts w:ascii="Source Sans Pro" w:eastAsia="Source Sans Pro" w:hAnsi="Source Sans Pro" w:cs="Source Sans Pro"/>
      <w:color w:val="431D7D"/>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4300</Words>
  <Characters>24510</Characters>
  <Application>Microsoft Office Word</Application>
  <DocSecurity>0</DocSecurity>
  <Lines>204</Lines>
  <Paragraphs>57</Paragraphs>
  <ScaleCrop>false</ScaleCrop>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webinar q a.docx</dc:title>
  <dc:subject/>
  <dc:creator>Gonzalez, Dylnne</dc:creator>
  <cp:keywords/>
  <cp:lastModifiedBy>Gonzalez, Dylnne</cp:lastModifiedBy>
  <cp:revision>2</cp:revision>
  <dcterms:created xsi:type="dcterms:W3CDTF">2026-06-17T22:20:00Z</dcterms:created>
  <dcterms:modified xsi:type="dcterms:W3CDTF">2026-06-17T22:20:00Z</dcterms:modified>
</cp:coreProperties>
</file>